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9" w:rsidRPr="008268E3" w:rsidRDefault="00820988" w:rsidP="00704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b/>
          <w:bCs/>
          <w:sz w:val="24"/>
          <w:szCs w:val="24"/>
          <w:lang w:val="en-GB"/>
        </w:rPr>
        <w:t>LITHUANIAN CENTRE FOR SOCIAL SCIENCES</w:t>
      </w:r>
    </w:p>
    <w:p w:rsidR="009F1FAE" w:rsidRPr="008268E3" w:rsidRDefault="00820988" w:rsidP="00704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PROCEDURE FOR A DOCTORAL </w:t>
      </w:r>
      <w:r w:rsidR="00BB2C04" w:rsidRPr="008268E3">
        <w:rPr>
          <w:rFonts w:ascii="Times New Roman" w:hAnsi="Times New Roman" w:cs="Times New Roman"/>
          <w:b/>
          <w:bCs/>
          <w:sz w:val="24"/>
          <w:szCs w:val="24"/>
          <w:lang w:val="en-GB"/>
        </w:rPr>
        <w:t>SCIENTIFIC</w:t>
      </w:r>
      <w:r w:rsidRPr="008268E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ORGANISATIONAL INTERNSHIP </w:t>
      </w:r>
    </w:p>
    <w:p w:rsidR="00704C94" w:rsidRPr="008268E3" w:rsidRDefault="00704C94" w:rsidP="00704C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F1FAE" w:rsidRPr="008268E3" w:rsidRDefault="00820988" w:rsidP="00704C94">
      <w:pPr>
        <w:pStyle w:val="ListParagraph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b/>
          <w:bCs/>
          <w:sz w:val="24"/>
          <w:szCs w:val="24"/>
          <w:lang w:val="en-GB"/>
        </w:rPr>
        <w:t>GENERAL PROVISIONS</w:t>
      </w:r>
    </w:p>
    <w:p w:rsidR="009D7A90" w:rsidRPr="008268E3" w:rsidRDefault="0023095A" w:rsidP="009D7A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>procedure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has been prepared in accordance with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>paragraphs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3 and 81 of the Regulation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Doctoral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Studies in the field of sociology 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>Vytautas</w:t>
      </w:r>
      <w:proofErr w:type="spellEnd"/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Magnus University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together 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with the Lithuanian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Centre for 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Social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>Sciences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and Kaunas University of Technology (approved by Resolution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No. 4-23 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of the Senate of the </w:t>
      </w:r>
      <w:proofErr w:type="spellStart"/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>Vytautas</w:t>
      </w:r>
      <w:proofErr w:type="spellEnd"/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Magnus University of 3 May 2017), which </w:t>
      </w:r>
      <w:r w:rsidR="009E2742" w:rsidRPr="008268E3">
        <w:rPr>
          <w:rFonts w:ascii="Times New Roman" w:hAnsi="Times New Roman" w:cs="Times New Roman"/>
          <w:sz w:val="24"/>
          <w:szCs w:val="24"/>
          <w:lang w:val="en-GB"/>
        </w:rPr>
        <w:t>relate to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the purpose of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doctoral </w:t>
      </w:r>
      <w:r w:rsidR="00807F0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programmes 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A06C5" w:rsidRPr="008268E3">
        <w:rPr>
          <w:rFonts w:ascii="Times New Roman" w:hAnsi="Times New Roman" w:cs="Times New Roman"/>
          <w:sz w:val="24"/>
          <w:szCs w:val="24"/>
          <w:lang w:val="en-GB"/>
        </w:rPr>
        <w:t>envisaged internships</w:t>
      </w:r>
      <w:r w:rsidR="009D7A90"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D7A90" w:rsidRPr="008268E3" w:rsidRDefault="009D7A90" w:rsidP="009D7A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2. The 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scientific organisational internship of a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doctoral student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constitutes a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part of the doctoral study process. During the internship, the doctoral student shall acquire knowledge of research, the dissemination of scientific information, and experience and skills in scientific organisational activities.</w:t>
      </w:r>
    </w:p>
    <w:p w:rsidR="009D7A90" w:rsidRPr="008268E3" w:rsidRDefault="009D7A90" w:rsidP="009D7A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3. The unpaid scientific organisational internship 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of a doctoral student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shall be carried out at the Lithuanian 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Centre for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Social 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>Sciences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(hereinafter 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>referred to as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the Centre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9F1FAE" w:rsidRPr="008268E3" w:rsidRDefault="009D7A90" w:rsidP="009D7A9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4. The unit of accounting for the scientific organisational </w:t>
      </w:r>
      <w:r w:rsidR="00BB2C04" w:rsidRPr="008268E3">
        <w:rPr>
          <w:rFonts w:ascii="Times New Roman" w:hAnsi="Times New Roman" w:cs="Times New Roman"/>
          <w:sz w:val="24"/>
          <w:szCs w:val="24"/>
          <w:lang w:val="en-GB"/>
        </w:rPr>
        <w:t>internship of a doctoral student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is the working hour</w:t>
      </w:r>
      <w:r w:rsidR="00D20FA6"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F1FAE" w:rsidRPr="008268E3" w:rsidRDefault="0062446E" w:rsidP="00704C94">
      <w:pPr>
        <w:pStyle w:val="ListParagraph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b/>
          <w:bCs/>
          <w:sz w:val="24"/>
          <w:szCs w:val="24"/>
          <w:lang w:val="en-GB"/>
        </w:rPr>
        <w:t>CONDUCTING AND RECORDING SCIENTIFIC ORGANISATIONAL INTERNSHIP</w:t>
      </w:r>
    </w:p>
    <w:p w:rsidR="0062446E" w:rsidRPr="008268E3" w:rsidRDefault="008E6BB3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D20FA6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The following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compulsory rates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807F04">
        <w:rPr>
          <w:rFonts w:ascii="Times New Roman" w:hAnsi="Times New Roman" w:cs="Times New Roman"/>
          <w:sz w:val="24"/>
          <w:szCs w:val="24"/>
          <w:lang w:val="en-GB"/>
        </w:rPr>
        <w:t>conducting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scientific organisational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shall be established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subject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to the form of study: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5.1 Doctoral students in </w:t>
      </w:r>
      <w:r w:rsidR="0001466C" w:rsidRPr="008268E3">
        <w:rPr>
          <w:rFonts w:ascii="Times New Roman" w:hAnsi="Times New Roman" w:cs="Times New Roman"/>
          <w:i/>
          <w:sz w:val="24"/>
          <w:szCs w:val="24"/>
          <w:lang w:val="en-GB"/>
        </w:rPr>
        <w:t>full-time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state-funded studies are required to undertake 120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working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hours of scientific organisational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5.2 For </w:t>
      </w:r>
      <w:r w:rsidRPr="008268E3">
        <w:rPr>
          <w:rFonts w:ascii="Times New Roman" w:hAnsi="Times New Roman" w:cs="Times New Roman"/>
          <w:i/>
          <w:sz w:val="24"/>
          <w:szCs w:val="24"/>
          <w:lang w:val="en-GB"/>
        </w:rPr>
        <w:t>part-time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8268E3">
        <w:rPr>
          <w:rFonts w:ascii="Times New Roman" w:hAnsi="Times New Roman" w:cs="Times New Roman"/>
          <w:i/>
          <w:sz w:val="24"/>
          <w:szCs w:val="24"/>
          <w:lang w:val="en-GB"/>
        </w:rPr>
        <w:t>fee-paying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doctoral students, scientific organisational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internships are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not compulsory, but may be organised if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so requested by the students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 The scientific organisational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internship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shall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include the following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scientific organisational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activities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6.1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. Activities of </w:t>
      </w:r>
      <w:r w:rsidR="00807F04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organisational nature:</w:t>
      </w:r>
    </w:p>
    <w:p w:rsidR="0062446E" w:rsidRPr="008268E3" w:rsidRDefault="0001466C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6.1.1. 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Participation in the organisation of scientific events initiated by the Centre (scientific conference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, seminar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, forum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, round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table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discussions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, summer school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, public lecture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, etc.); 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6.1.2.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rganis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ation of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scientific events initiated by the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doctoral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student(s) (e.g.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doctoral afternoon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discussion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, etc.);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6.1.3. Organisational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support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in hosting guests of the Centre and visiting researchers, including during their public lectures and events;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6.1.4. 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Organisational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activities related to the publication process of Centre</w:t>
      </w:r>
      <w:r w:rsidR="0001466C" w:rsidRPr="008268E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F4D49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scientific publications (e.g.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Social Development of Lithuania, Social Research in Brief, </w:t>
      </w:r>
      <w:proofErr w:type="spellStart"/>
      <w:r w:rsidR="004F4D49" w:rsidRPr="008268E3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Annales</w:t>
      </w:r>
      <w:proofErr w:type="spellEnd"/>
      <w:r w:rsidR="004F4D49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F4D49" w:rsidRPr="008268E3">
        <w:rPr>
          <w:rFonts w:ascii="Times New Roman" w:hAnsi="Times New Roman" w:cs="Times New Roman"/>
          <w:sz w:val="24"/>
          <w:szCs w:val="24"/>
          <w:lang w:val="en-GB"/>
        </w:rPr>
        <w:t>Geographicae</w:t>
      </w:r>
      <w:proofErr w:type="spellEnd"/>
      <w:r w:rsidR="004F4D49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/The </w:t>
      </w:r>
      <w:r w:rsidR="004F4D49" w:rsidRPr="008268E3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Geographical</w:t>
      </w:r>
      <w:r w:rsidR="004F4D49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Yearbook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, etc.).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6.2</w:t>
      </w:r>
      <w:r w:rsidR="00807F0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Activities of a scientific nature: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6.2.1 Participation in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doctoral methodology seminars </w:t>
      </w:r>
      <w:r w:rsidR="004F4D49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of the Centre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F4D49" w:rsidRPr="008268E3">
        <w:rPr>
          <w:rFonts w:ascii="Times New Roman" w:hAnsi="Times New Roman" w:cs="Times New Roman"/>
          <w:sz w:val="24"/>
          <w:szCs w:val="24"/>
          <w:lang w:val="en-GB"/>
        </w:rPr>
        <w:t>compulsory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6.2.2 Participation in R&amp;D activities (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drawing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of project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6.2.3 Participation in scientific events organised by the Centre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 community (scientific conferences, seminars, forums, round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table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discussion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s, summer schools, public lectures, etc.);</w:t>
      </w:r>
    </w:p>
    <w:p w:rsidR="0062446E" w:rsidRPr="008268E3" w:rsidRDefault="00C1363C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6.3. </w:t>
      </w:r>
      <w:r w:rsidRPr="008268E3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Activities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8268E3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science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popularisation: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6.3.1.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Preparation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of information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and coordination of delivery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for the website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of the Centre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268E3">
        <w:rPr>
          <w:rFonts w:ascii="Times New Roman" w:hAnsi="Times New Roman" w:cs="Times New Roman"/>
          <w:sz w:val="24"/>
          <w:szCs w:val="24"/>
          <w:lang w:val="en-GB"/>
        </w:rPr>
        <w:t>Facebook</w:t>
      </w:r>
      <w:proofErr w:type="spellEnd"/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and other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sites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6.3.2.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Creation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and/or development of blogs for the research 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fields of the Centre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6.3.3 Prepar</w:t>
      </w:r>
      <w:r w:rsidR="00C1363C" w:rsidRPr="008268E3">
        <w:rPr>
          <w:rFonts w:ascii="Times New Roman" w:hAnsi="Times New Roman" w:cs="Times New Roman"/>
          <w:sz w:val="24"/>
          <w:szCs w:val="24"/>
          <w:lang w:val="en-GB"/>
        </w:rPr>
        <w:t>ation of science popularisation articles and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submi</w:t>
      </w:r>
      <w:r w:rsidR="00807F04">
        <w:rPr>
          <w:rFonts w:ascii="Times New Roman" w:hAnsi="Times New Roman" w:cs="Times New Roman"/>
          <w:sz w:val="24"/>
          <w:szCs w:val="24"/>
          <w:lang w:val="en-GB"/>
        </w:rPr>
        <w:t>ssion of such articles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to the media on behalf of the Centre. 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6.4. Other activities (to be agreed individually).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7. The hours of the internship </w:t>
      </w:r>
      <w:r w:rsidR="008268E3">
        <w:rPr>
          <w:rFonts w:ascii="Times New Roman" w:hAnsi="Times New Roman" w:cs="Times New Roman"/>
          <w:sz w:val="24"/>
          <w:szCs w:val="24"/>
          <w:lang w:val="en-GB"/>
        </w:rPr>
        <w:t>spent for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activities of a scientific nature </w:t>
      </w:r>
      <w:r w:rsidR="008268E3">
        <w:rPr>
          <w:rFonts w:ascii="Times New Roman" w:hAnsi="Times New Roman" w:cs="Times New Roman"/>
          <w:sz w:val="24"/>
          <w:szCs w:val="24"/>
          <w:lang w:val="en-GB"/>
        </w:rPr>
        <w:t xml:space="preserve">referred to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268E3">
        <w:rPr>
          <w:rFonts w:ascii="Times New Roman" w:hAnsi="Times New Roman" w:cs="Times New Roman"/>
          <w:sz w:val="24"/>
          <w:szCs w:val="24"/>
          <w:lang w:val="en-GB"/>
        </w:rPr>
        <w:t>paragraph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6.2 shall not exceed half (60) of the total number of </w:t>
      </w:r>
      <w:r w:rsidR="008268E3">
        <w:rPr>
          <w:rFonts w:ascii="Times New Roman" w:hAnsi="Times New Roman" w:cs="Times New Roman"/>
          <w:sz w:val="24"/>
          <w:szCs w:val="24"/>
          <w:lang w:val="en-GB"/>
        </w:rPr>
        <w:t xml:space="preserve">working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hours required for the internship.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The scientific organisational internship shall be undertaken during the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years of doctoral studies (second and third years).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9. The hours of the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scientific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organisational internship shall be included in the doctoral study plan, which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is to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be approved by the Doctoral Committee of Sociology.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octoral student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shall coordinate the tasks of the internship for each year individually with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supervisor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, the head of the unit to which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they are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assigned and the chair of the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Doctoral Commission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10. The doctoral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shall record the tasks of the scientific organisational </w:t>
      </w:r>
      <w:r w:rsidR="00807F04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Task Recording Sheet for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Scientific Organisational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and report on them annually to the supervisor and the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hair of the Doctoral Commi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ssion of the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Centre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prior to the attestation. </w:t>
      </w:r>
    </w:p>
    <w:p w:rsidR="0062446E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11. The scientific organisational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shall be deemed to have been completed when,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before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the end of the study, the Scientific Secretary of the Centre has been provided with a completed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Task Recording Sheet for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Scientific Organisational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(Annex 1),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reflecting the completion of the required number of hours. The Task Recording Sheet shall contain the signature of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the doctoral student, his/her supervisor and the Chairperson of the Doctoral Commi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ssion of the Centre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E5F34" w:rsidRPr="008268E3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shall be kept in the </w:t>
      </w:r>
      <w:r w:rsidR="008268E3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file of the 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>doctoral student.</w:t>
      </w:r>
    </w:p>
    <w:p w:rsidR="00D20FA6" w:rsidRPr="008268E3" w:rsidRDefault="0062446E" w:rsidP="006244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12. Failure to complete the </w:t>
      </w:r>
      <w:r w:rsidR="008268E3" w:rsidRPr="008268E3">
        <w:rPr>
          <w:rFonts w:ascii="Times New Roman" w:hAnsi="Times New Roman" w:cs="Times New Roman"/>
          <w:sz w:val="24"/>
          <w:szCs w:val="24"/>
          <w:lang w:val="en-GB"/>
        </w:rPr>
        <w:t>compulsory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scientific organisational </w:t>
      </w:r>
      <w:r w:rsidR="008268E3" w:rsidRPr="008268E3">
        <w:rPr>
          <w:rFonts w:ascii="Times New Roman" w:hAnsi="Times New Roman" w:cs="Times New Roman"/>
          <w:sz w:val="24"/>
          <w:szCs w:val="24"/>
          <w:lang w:val="en-GB"/>
        </w:rPr>
        <w:t>internship</w:t>
      </w: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shall be considered as failure to complete the doctoral study plan</w:t>
      </w:r>
      <w:r w:rsidR="007076FA"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838FB" w:rsidRPr="008268E3" w:rsidRDefault="008838FB" w:rsidP="006170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F1FAE" w:rsidRPr="008268E3" w:rsidRDefault="0062446E" w:rsidP="00704C94">
      <w:pPr>
        <w:pStyle w:val="ListParagraph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b/>
          <w:bCs/>
          <w:sz w:val="24"/>
          <w:szCs w:val="24"/>
          <w:lang w:val="en-GB"/>
        </w:rPr>
        <w:t>FINAL PROVISIONS</w:t>
      </w:r>
    </w:p>
    <w:p w:rsidR="007076FA" w:rsidRPr="008268E3" w:rsidRDefault="008E6BB3" w:rsidP="006170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7076FA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2446E" w:rsidRPr="008268E3">
        <w:rPr>
          <w:rFonts w:ascii="Times New Roman" w:hAnsi="Times New Roman" w:cs="Times New Roman"/>
          <w:sz w:val="24"/>
          <w:szCs w:val="24"/>
          <w:lang w:val="en-GB"/>
        </w:rPr>
        <w:t>The procedure shall be approved, amended and/or supplemented by an order of the Director</w:t>
      </w:r>
      <w:r w:rsidR="007076FA" w:rsidRPr="008268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626B0" w:rsidRPr="008268E3" w:rsidRDefault="00F626B0" w:rsidP="006170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7091" w:rsidRPr="008268E3" w:rsidRDefault="00337091" w:rsidP="007076F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64525" w:rsidRPr="008268E3" w:rsidRDefault="0062446E" w:rsidP="0062446E">
      <w:pPr>
        <w:ind w:left="72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Annex 1</w:t>
      </w:r>
      <w:r w:rsidR="00764525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C38C0" w:rsidRPr="008268E3" w:rsidRDefault="008268E3" w:rsidP="007E59C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b/>
          <w:sz w:val="24"/>
          <w:szCs w:val="24"/>
          <w:lang w:val="en-GB"/>
        </w:rPr>
        <w:t>Task Recording Sheet for Scientific Organisational Internship</w:t>
      </w:r>
    </w:p>
    <w:tbl>
      <w:tblPr>
        <w:tblStyle w:val="TableGrid"/>
        <w:tblW w:w="0" w:type="auto"/>
        <w:tblLook w:val="04A0"/>
      </w:tblPr>
      <w:tblGrid>
        <w:gridCol w:w="3114"/>
        <w:gridCol w:w="2551"/>
        <w:gridCol w:w="1985"/>
        <w:gridCol w:w="1700"/>
      </w:tblGrid>
      <w:tr w:rsidR="00764525" w:rsidRPr="008268E3" w:rsidTr="00764525">
        <w:tc>
          <w:tcPr>
            <w:tcW w:w="3114" w:type="dxa"/>
          </w:tcPr>
          <w:p w:rsidR="00764525" w:rsidRPr="008268E3" w:rsidRDefault="008268E3" w:rsidP="008268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8268E3" w:rsidP="0076452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Surname 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764525" w:rsidP="008268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="008268E3"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-mail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8268E3" w:rsidP="008268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Contact phone number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8268E3" w:rsidP="00C63B0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Date of commencement of </w:t>
            </w:r>
            <w:r w:rsidR="00C63B0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doctoral</w:t>
            </w: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studies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8268E3" w:rsidP="008268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Field of science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8268E3" w:rsidP="008268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8268E3" w:rsidP="008268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Advisor (if any)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64525">
        <w:tc>
          <w:tcPr>
            <w:tcW w:w="3114" w:type="dxa"/>
          </w:tcPr>
          <w:p w:rsidR="00764525" w:rsidRPr="008268E3" w:rsidRDefault="008268E3" w:rsidP="008268E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Unit</w:t>
            </w:r>
          </w:p>
        </w:tc>
        <w:tc>
          <w:tcPr>
            <w:tcW w:w="6236" w:type="dxa"/>
            <w:gridSpan w:val="3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00F7B">
        <w:tc>
          <w:tcPr>
            <w:tcW w:w="3114" w:type="dxa"/>
          </w:tcPr>
          <w:p w:rsidR="00764525" w:rsidRPr="008268E3" w:rsidRDefault="008268E3" w:rsidP="008268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 internship activity</w:t>
            </w:r>
          </w:p>
        </w:tc>
        <w:tc>
          <w:tcPr>
            <w:tcW w:w="2551" w:type="dxa"/>
          </w:tcPr>
          <w:p w:rsidR="00764525" w:rsidRPr="008268E3" w:rsidRDefault="00764525" w:rsidP="008268E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</w:t>
            </w:r>
            <w:r w:rsidR="008268E3" w:rsidRPr="00826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826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8268E3" w:rsidRPr="00826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1985" w:type="dxa"/>
          </w:tcPr>
          <w:p w:rsidR="00764525" w:rsidRPr="008268E3" w:rsidRDefault="008268E3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1700" w:type="dxa"/>
          </w:tcPr>
          <w:p w:rsidR="00764525" w:rsidRPr="008268E3" w:rsidRDefault="008268E3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</w:tr>
      <w:tr w:rsidR="00764525" w:rsidRPr="008268E3" w:rsidTr="00700F7B">
        <w:tc>
          <w:tcPr>
            <w:tcW w:w="3114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00F7B">
        <w:tc>
          <w:tcPr>
            <w:tcW w:w="3114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00F7B">
        <w:tc>
          <w:tcPr>
            <w:tcW w:w="3114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00F7B">
        <w:tc>
          <w:tcPr>
            <w:tcW w:w="3114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4525" w:rsidRPr="008268E3" w:rsidTr="00700F7B">
        <w:tc>
          <w:tcPr>
            <w:tcW w:w="3114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0" w:type="dxa"/>
          </w:tcPr>
          <w:p w:rsidR="00764525" w:rsidRPr="008268E3" w:rsidRDefault="00764525" w:rsidP="00764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64525" w:rsidRPr="008268E3" w:rsidRDefault="00764525" w:rsidP="00764525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071C6" w:rsidRPr="008268E3" w:rsidRDefault="008268E3" w:rsidP="0076452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Doctoral student</w:t>
      </w:r>
      <w:r w:rsidR="00747513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68E3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</w:t>
      </w:r>
    </w:p>
    <w:p w:rsidR="005071C6" w:rsidRPr="008268E3" w:rsidRDefault="008268E3" w:rsidP="0076452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Scientific Supervisor </w:t>
      </w:r>
      <w:r w:rsidRPr="008268E3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</w:t>
      </w:r>
    </w:p>
    <w:p w:rsidR="005071C6" w:rsidRPr="008268E3" w:rsidRDefault="008268E3" w:rsidP="0076452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268E3">
        <w:rPr>
          <w:rFonts w:ascii="Times New Roman" w:hAnsi="Times New Roman" w:cs="Times New Roman"/>
          <w:sz w:val="24"/>
          <w:szCs w:val="24"/>
          <w:lang w:val="en-GB"/>
        </w:rPr>
        <w:t>Chairperson of the Doctoral Commission</w:t>
      </w:r>
      <w:r w:rsidR="007E59C9" w:rsidRPr="00826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268E3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</w:t>
      </w:r>
    </w:p>
    <w:sectPr w:rsidR="005071C6" w:rsidRPr="008268E3" w:rsidSect="00324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874"/>
    <w:multiLevelType w:val="hybridMultilevel"/>
    <w:tmpl w:val="B9742DE4"/>
    <w:lvl w:ilvl="0" w:tplc="63760B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6B32"/>
    <w:multiLevelType w:val="hybridMultilevel"/>
    <w:tmpl w:val="FFD0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83096"/>
    <w:multiLevelType w:val="hybridMultilevel"/>
    <w:tmpl w:val="4DC86EB8"/>
    <w:lvl w:ilvl="0" w:tplc="89D88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F4401"/>
    <w:multiLevelType w:val="hybridMultilevel"/>
    <w:tmpl w:val="95E287A0"/>
    <w:lvl w:ilvl="0" w:tplc="B100F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396"/>
  <w:characterSpacingControl w:val="doNotCompress"/>
  <w:compat/>
  <w:rsids>
    <w:rsidRoot w:val="00211A8C"/>
    <w:rsid w:val="00001C62"/>
    <w:rsid w:val="0001466C"/>
    <w:rsid w:val="0006442A"/>
    <w:rsid w:val="0006654A"/>
    <w:rsid w:val="00073528"/>
    <w:rsid w:val="00095BDE"/>
    <w:rsid w:val="00096169"/>
    <w:rsid w:val="00100341"/>
    <w:rsid w:val="0014332C"/>
    <w:rsid w:val="00183241"/>
    <w:rsid w:val="001A3965"/>
    <w:rsid w:val="001A4E4B"/>
    <w:rsid w:val="001E334D"/>
    <w:rsid w:val="00211A8C"/>
    <w:rsid w:val="0023095A"/>
    <w:rsid w:val="002807E3"/>
    <w:rsid w:val="00282486"/>
    <w:rsid w:val="002A06C5"/>
    <w:rsid w:val="002A5A6D"/>
    <w:rsid w:val="002E0235"/>
    <w:rsid w:val="002E5F34"/>
    <w:rsid w:val="00304E0C"/>
    <w:rsid w:val="003111D1"/>
    <w:rsid w:val="003241F7"/>
    <w:rsid w:val="00337091"/>
    <w:rsid w:val="00371ADC"/>
    <w:rsid w:val="00393A29"/>
    <w:rsid w:val="003F030F"/>
    <w:rsid w:val="003F2F7B"/>
    <w:rsid w:val="00467CC0"/>
    <w:rsid w:val="00494B10"/>
    <w:rsid w:val="004F19AE"/>
    <w:rsid w:val="004F4D49"/>
    <w:rsid w:val="005071C6"/>
    <w:rsid w:val="005322FF"/>
    <w:rsid w:val="00556B48"/>
    <w:rsid w:val="00566BCF"/>
    <w:rsid w:val="005819E5"/>
    <w:rsid w:val="0058687B"/>
    <w:rsid w:val="00586884"/>
    <w:rsid w:val="00590E8E"/>
    <w:rsid w:val="005C4FAF"/>
    <w:rsid w:val="005F1562"/>
    <w:rsid w:val="00617083"/>
    <w:rsid w:val="0062446E"/>
    <w:rsid w:val="00653254"/>
    <w:rsid w:val="006D06FA"/>
    <w:rsid w:val="006F1922"/>
    <w:rsid w:val="00700F7B"/>
    <w:rsid w:val="00704C94"/>
    <w:rsid w:val="007076FA"/>
    <w:rsid w:val="00735848"/>
    <w:rsid w:val="00747513"/>
    <w:rsid w:val="007526F2"/>
    <w:rsid w:val="00764525"/>
    <w:rsid w:val="0076713D"/>
    <w:rsid w:val="00782EAD"/>
    <w:rsid w:val="007C6D7A"/>
    <w:rsid w:val="007E59C9"/>
    <w:rsid w:val="007F73C2"/>
    <w:rsid w:val="00807F04"/>
    <w:rsid w:val="00817D46"/>
    <w:rsid w:val="00820988"/>
    <w:rsid w:val="00823971"/>
    <w:rsid w:val="008268E3"/>
    <w:rsid w:val="0083404E"/>
    <w:rsid w:val="00836BE2"/>
    <w:rsid w:val="00837827"/>
    <w:rsid w:val="00870277"/>
    <w:rsid w:val="00881A6F"/>
    <w:rsid w:val="008838FB"/>
    <w:rsid w:val="008E5255"/>
    <w:rsid w:val="008E6BB3"/>
    <w:rsid w:val="009031A7"/>
    <w:rsid w:val="009416D6"/>
    <w:rsid w:val="00966EDA"/>
    <w:rsid w:val="00971C36"/>
    <w:rsid w:val="009D5725"/>
    <w:rsid w:val="009D7A90"/>
    <w:rsid w:val="009E2742"/>
    <w:rsid w:val="009F1FAE"/>
    <w:rsid w:val="00A111F9"/>
    <w:rsid w:val="00AB1AD2"/>
    <w:rsid w:val="00AC610C"/>
    <w:rsid w:val="00B1391E"/>
    <w:rsid w:val="00B21CD9"/>
    <w:rsid w:val="00B3102E"/>
    <w:rsid w:val="00B941F6"/>
    <w:rsid w:val="00BA595F"/>
    <w:rsid w:val="00BB2C04"/>
    <w:rsid w:val="00BB40CB"/>
    <w:rsid w:val="00BD3190"/>
    <w:rsid w:val="00C04851"/>
    <w:rsid w:val="00C1363C"/>
    <w:rsid w:val="00C54F2D"/>
    <w:rsid w:val="00C63B0D"/>
    <w:rsid w:val="00C63D91"/>
    <w:rsid w:val="00C64634"/>
    <w:rsid w:val="00C90579"/>
    <w:rsid w:val="00C950EC"/>
    <w:rsid w:val="00CA2503"/>
    <w:rsid w:val="00CE1B82"/>
    <w:rsid w:val="00D20559"/>
    <w:rsid w:val="00D20FA6"/>
    <w:rsid w:val="00DE64C0"/>
    <w:rsid w:val="00DE76DB"/>
    <w:rsid w:val="00E561A9"/>
    <w:rsid w:val="00E67715"/>
    <w:rsid w:val="00EC38C0"/>
    <w:rsid w:val="00ED7DDC"/>
    <w:rsid w:val="00F00EBC"/>
    <w:rsid w:val="00F239AA"/>
    <w:rsid w:val="00F32517"/>
    <w:rsid w:val="00F465C9"/>
    <w:rsid w:val="00F626B0"/>
    <w:rsid w:val="00F81134"/>
    <w:rsid w:val="00F8429D"/>
    <w:rsid w:val="00FA362E"/>
    <w:rsid w:val="00FA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F7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FAE"/>
    <w:pPr>
      <w:ind w:left="720"/>
      <w:contextualSpacing/>
    </w:pPr>
  </w:style>
  <w:style w:type="table" w:styleId="TableGrid">
    <w:name w:val="Table Grid"/>
    <w:basedOn w:val="TableNormal"/>
    <w:uiPriority w:val="39"/>
    <w:rsid w:val="00764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503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503"/>
    <w:rPr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03"/>
    <w:rPr>
      <w:rFonts w:ascii="Tahoma" w:hAnsi="Tahoma" w:cs="Tahoma"/>
      <w:sz w:val="16"/>
      <w:szCs w:val="16"/>
      <w:lang w:val="lt-LT"/>
    </w:rPr>
  </w:style>
  <w:style w:type="character" w:styleId="Emphasis">
    <w:name w:val="Emphasis"/>
    <w:basedOn w:val="DefaultParagraphFont"/>
    <w:uiPriority w:val="20"/>
    <w:qFormat/>
    <w:rsid w:val="004F4D49"/>
    <w:rPr>
      <w:i/>
      <w:iCs/>
    </w:rPr>
  </w:style>
  <w:style w:type="character" w:styleId="Strong">
    <w:name w:val="Strong"/>
    <w:basedOn w:val="DefaultParagraphFont"/>
    <w:uiPriority w:val="22"/>
    <w:qFormat/>
    <w:rsid w:val="00C1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C555-62A3-4478-BD97-CD48E5CD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776</Words>
  <Characters>4697</Characters>
  <Application>Microsoft Office Word</Application>
  <DocSecurity>0</DocSecurity>
  <Lines>123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.</dc:creator>
  <cp:lastModifiedBy>Diana</cp:lastModifiedBy>
  <cp:revision>7</cp:revision>
  <dcterms:created xsi:type="dcterms:W3CDTF">2022-09-16T11:39:00Z</dcterms:created>
  <dcterms:modified xsi:type="dcterms:W3CDTF">2022-09-19T10:30:00Z</dcterms:modified>
</cp:coreProperties>
</file>